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4EF" w:rsidRDefault="00EE2A8C">
      <w:pPr>
        <w:pStyle w:val="20"/>
        <w:shd w:val="clear" w:color="auto" w:fill="auto"/>
        <w:spacing w:after="447" w:line="280" w:lineRule="exact"/>
      </w:pPr>
      <w:r>
        <w:t>Приложение № 2</w:t>
      </w:r>
    </w:p>
    <w:p w:rsidR="002E14EF" w:rsidRDefault="00EE2A8C">
      <w:pPr>
        <w:pStyle w:val="10"/>
        <w:keepNext/>
        <w:keepLines/>
        <w:shd w:val="clear" w:color="auto" w:fill="auto"/>
        <w:spacing w:before="0" w:after="303" w:line="280" w:lineRule="exact"/>
        <w:ind w:left="3700"/>
      </w:pPr>
      <w:bookmarkStart w:id="0" w:name="bookmark0"/>
      <w:r>
        <w:t>Написание некоторых сокращений слов, дат и чисел</w:t>
      </w:r>
      <w:bookmarkEnd w:id="0"/>
    </w:p>
    <w:p w:rsidR="002E14EF" w:rsidRDefault="00EE2A8C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2077"/>
        </w:tabs>
        <w:spacing w:before="0" w:after="296" w:line="317" w:lineRule="exact"/>
        <w:ind w:left="3700" w:right="1340"/>
      </w:pPr>
      <w:bookmarkStart w:id="1" w:name="bookmark1"/>
      <w:r>
        <w:t>Написание наиболее употребляемых сокращений слов и наименований</w:t>
      </w:r>
      <w:bookmarkEnd w:id="1"/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>В проектах правовых актов необходимо употреблять полные наименования органов исполнительной власти и органов местного самоуправления.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В проектах правовых актов не допускается употребление сокращений, </w:t>
      </w:r>
      <w:r w:rsidRPr="00881561">
        <w:rPr>
          <w:b/>
        </w:rPr>
        <w:t>например</w:t>
      </w:r>
      <w:r>
        <w:t>: «РФ» вместо слов «Российская Федерация», «ул.» вместо «улица».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При необходимости многократного употребления наименования органа, его подразделения, учреждения, организации в рамках одного документа при первом упоминании приводится его полное, а в скобках - сокращенное наименование. </w:t>
      </w:r>
      <w:r w:rsidRPr="00881561">
        <w:rPr>
          <w:b/>
        </w:rPr>
        <w:t>Например:</w:t>
      </w:r>
      <w:r>
        <w:t xml:space="preserve"> </w:t>
      </w:r>
      <w:r w:rsidR="00881561">
        <w:t>Отдел</w:t>
      </w:r>
      <w:r>
        <w:t xml:space="preserve"> </w:t>
      </w:r>
      <w:r w:rsidR="00881561">
        <w:t>экономики, комплексного развития и инвестиционной деятельности</w:t>
      </w:r>
      <w:r>
        <w:t xml:space="preserve"> Администрации</w:t>
      </w:r>
      <w:r w:rsidR="00881561">
        <w:t xml:space="preserve"> муниципального образования «Шумячский муниципальный округ» Смоленской области</w:t>
      </w:r>
      <w:r>
        <w:t xml:space="preserve"> (далее </w:t>
      </w:r>
      <w:r w:rsidR="00881561">
        <w:t>–</w:t>
      </w:r>
      <w:r>
        <w:t xml:space="preserve"> </w:t>
      </w:r>
      <w:r w:rsidR="00881561">
        <w:t>Отдел экономики</w:t>
      </w:r>
      <w:r>
        <w:t>).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Аббревиатуры, читаемые по буквам, не склоняются и пишутся прописными буквами. </w:t>
      </w:r>
      <w:r w:rsidRPr="00881561">
        <w:rPr>
          <w:b/>
        </w:rPr>
        <w:t>Например:</w:t>
      </w:r>
      <w:r>
        <w:t xml:space="preserve"> МВД, МЧС, ЭВМ, МГУ.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>Аббревиатуры, читаемые по слогам, склоняются и пишутся прописными буквами, если образованы от имени собственного (МИД - МИДа, ГОСТ - ГОСТом), и строчными буквами, если образованы от имени нарицательного (вуз - вуза).</w:t>
      </w:r>
    </w:p>
    <w:p w:rsidR="00881561" w:rsidRDefault="00EE2A8C" w:rsidP="00881561">
      <w:pPr>
        <w:pStyle w:val="20"/>
        <w:shd w:val="clear" w:color="auto" w:fill="auto"/>
        <w:spacing w:after="0" w:line="322" w:lineRule="exact"/>
        <w:ind w:firstLine="740"/>
        <w:jc w:val="both"/>
        <w:rPr>
          <w:b/>
        </w:rPr>
      </w:pPr>
      <w:r>
        <w:t xml:space="preserve">Используемые в документах (письмах, служебных записках, отчетах и др.) сокращения слов должны быть общепринятыми, а их написание - унифицировано. </w:t>
      </w:r>
      <w:r w:rsidRPr="00881561">
        <w:rPr>
          <w:b/>
        </w:rPr>
        <w:t>Например:</w:t>
      </w:r>
    </w:p>
    <w:p w:rsidR="007113A1" w:rsidRDefault="007113A1" w:rsidP="00881561">
      <w:pPr>
        <w:pStyle w:val="20"/>
        <w:shd w:val="clear" w:color="auto" w:fill="auto"/>
        <w:spacing w:after="0" w:line="322" w:lineRule="exact"/>
        <w:ind w:firstLine="740"/>
        <w:jc w:val="both"/>
        <w:rPr>
          <w:b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7113A1" w:rsidTr="007113A1">
        <w:tc>
          <w:tcPr>
            <w:tcW w:w="4811" w:type="dxa"/>
          </w:tcPr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ind w:right="174"/>
              <w:jc w:val="both"/>
            </w:pPr>
            <w:r>
              <w:rPr>
                <w:rStyle w:val="2Exact"/>
              </w:rPr>
              <w:t>век, века - в., вв. (при цифрах) год, годы - г.,гг. (при цифрах) гектар - га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  <w:rPr>
                <w:rStyle w:val="2Exact"/>
              </w:rPr>
            </w:pPr>
            <w:r>
              <w:rPr>
                <w:rStyle w:val="2Exact"/>
              </w:rPr>
              <w:t>глава, главы - гл. (в книгах)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</w:pPr>
            <w:r>
              <w:rPr>
                <w:rStyle w:val="2Exact"/>
              </w:rPr>
              <w:t>город - г.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</w:pPr>
            <w:r>
              <w:rPr>
                <w:rStyle w:val="2Exact"/>
              </w:rPr>
              <w:t>господин, госпожа, господа - г-н,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</w:pPr>
            <w:r>
              <w:rPr>
                <w:rStyle w:val="2Exact"/>
              </w:rPr>
              <w:t>г-жа, г-да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</w:pPr>
            <w:r>
              <w:rPr>
                <w:rStyle w:val="2Exact"/>
              </w:rPr>
              <w:t>гражданин - гр-н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</w:pPr>
            <w:r>
              <w:rPr>
                <w:rStyle w:val="2Exact"/>
              </w:rPr>
              <w:t>дом - д.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  <w:rPr>
                <w:rStyle w:val="2Exact"/>
              </w:rPr>
            </w:pPr>
            <w:r>
              <w:rPr>
                <w:rStyle w:val="2Exact"/>
              </w:rPr>
              <w:t>деревня - дер.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</w:pPr>
            <w:r>
              <w:t>железная дорога - ж.д. железнодорожный - ж.-д.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</w:pPr>
            <w:r>
              <w:t>исполняющий обязанности - и. о.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</w:pPr>
            <w:r>
              <w:t>и другие - и др.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</w:pPr>
            <w:r>
              <w:t xml:space="preserve">и прочие - и пр. 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</w:pPr>
            <w:r>
              <w:t>и так далее - и т.д.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</w:pPr>
            <w:r>
              <w:rPr>
                <w:rStyle w:val="2Exact"/>
              </w:rPr>
              <w:t>и тому подобное - и т.п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both"/>
            </w:pPr>
            <w:r>
              <w:rPr>
                <w:rStyle w:val="2Exact"/>
              </w:rPr>
              <w:lastRenderedPageBreak/>
              <w:t>кабинет - каб.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both"/>
            </w:pPr>
            <w:r>
              <w:rPr>
                <w:rStyle w:val="2Exact"/>
              </w:rPr>
              <w:t>килограмм - кг (при цифрах)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both"/>
            </w:pPr>
            <w:r>
              <w:rPr>
                <w:rStyle w:val="2Exact"/>
              </w:rPr>
              <w:t>комната - к.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both"/>
            </w:pPr>
            <w:r>
              <w:rPr>
                <w:rStyle w:val="2Exact"/>
              </w:rPr>
              <w:t>корпус - корп.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both"/>
            </w:pPr>
            <w:r>
              <w:rPr>
                <w:rStyle w:val="2Exact"/>
              </w:rPr>
              <w:t>лист, листы - л.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both"/>
            </w:pPr>
            <w:r>
              <w:rPr>
                <w:rStyle w:val="2Exact"/>
              </w:rPr>
              <w:t>метр - м (при цифрах)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both"/>
            </w:pPr>
            <w:r>
              <w:rPr>
                <w:rStyle w:val="2Exact"/>
              </w:rPr>
              <w:t>миллиард, миллиарды - млрд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both"/>
            </w:pPr>
            <w:r>
              <w:rPr>
                <w:rStyle w:val="2Exact"/>
              </w:rPr>
              <w:t>(при цифрах)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</w:pPr>
            <w:r>
              <w:rPr>
                <w:rStyle w:val="2Exact"/>
              </w:rPr>
              <w:t>миллион, миллионы - млн (при цифрах)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  <w:rPr>
                <w:rStyle w:val="2Exact"/>
              </w:rPr>
            </w:pPr>
            <w:r>
              <w:rPr>
                <w:rStyle w:val="2Exact"/>
              </w:rPr>
              <w:t xml:space="preserve">микрорайон - мкр. 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  <w:rPr>
                <w:rStyle w:val="2Exact"/>
              </w:rPr>
            </w:pPr>
            <w:r>
              <w:rPr>
                <w:rStyle w:val="2Exact"/>
              </w:rPr>
              <w:t xml:space="preserve">область - обл. </w:t>
            </w:r>
          </w:p>
          <w:p w:rsidR="007113A1" w:rsidRDefault="007113A1" w:rsidP="00881561">
            <w:pPr>
              <w:pStyle w:val="20"/>
              <w:shd w:val="clear" w:color="auto" w:fill="auto"/>
              <w:spacing w:after="0" w:line="322" w:lineRule="exact"/>
              <w:jc w:val="both"/>
              <w:rPr>
                <w:b/>
              </w:rPr>
            </w:pPr>
          </w:p>
          <w:p w:rsidR="007113A1" w:rsidRDefault="007113A1" w:rsidP="00881561">
            <w:pPr>
              <w:pStyle w:val="20"/>
              <w:shd w:val="clear" w:color="auto" w:fill="auto"/>
              <w:spacing w:after="0" w:line="322" w:lineRule="exact"/>
              <w:jc w:val="both"/>
              <w:rPr>
                <w:b/>
              </w:rPr>
            </w:pPr>
          </w:p>
        </w:tc>
        <w:tc>
          <w:tcPr>
            <w:tcW w:w="4811" w:type="dxa"/>
          </w:tcPr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  <w:rPr>
                <w:rStyle w:val="2Exact"/>
              </w:rPr>
            </w:pPr>
            <w:r>
              <w:rPr>
                <w:rStyle w:val="2Exact"/>
              </w:rPr>
              <w:lastRenderedPageBreak/>
              <w:t xml:space="preserve">переулок - пер. 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  <w:rPr>
                <w:rStyle w:val="2Exact"/>
              </w:rPr>
            </w:pPr>
            <w:r>
              <w:rPr>
                <w:rStyle w:val="2Exact"/>
              </w:rPr>
              <w:t xml:space="preserve">площадь - пл. 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  <w:rPr>
                <w:rStyle w:val="2Exact"/>
              </w:rPr>
            </w:pPr>
            <w:r>
              <w:rPr>
                <w:rStyle w:val="2Exact"/>
              </w:rPr>
              <w:t xml:space="preserve">подъезд - под. 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</w:pPr>
            <w:r>
              <w:rPr>
                <w:rStyle w:val="2Exact"/>
              </w:rPr>
              <w:t>поселок - пос.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17" w:lineRule="exact"/>
              <w:jc w:val="left"/>
            </w:pPr>
            <w:r>
              <w:rPr>
                <w:rStyle w:val="2Exact"/>
              </w:rPr>
              <w:t>проспект - просп.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17" w:lineRule="exact"/>
              <w:jc w:val="left"/>
            </w:pPr>
            <w:r>
              <w:rPr>
                <w:rStyle w:val="2Exact"/>
              </w:rPr>
              <w:t>пункт, пункты - п., пп.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17" w:lineRule="exact"/>
              <w:jc w:val="left"/>
            </w:pPr>
            <w:r>
              <w:rPr>
                <w:rStyle w:val="2Exact"/>
              </w:rPr>
              <w:t>подпункт - подп.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240" w:lineRule="auto"/>
              <w:ind w:right="440"/>
              <w:jc w:val="left"/>
            </w:pPr>
            <w:r>
              <w:t>проезд - пр. бульвар - бул.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240" w:lineRule="auto"/>
              <w:ind w:right="440"/>
              <w:jc w:val="left"/>
            </w:pPr>
            <w:r>
              <w:rPr>
                <w:rStyle w:val="2Exact"/>
              </w:rPr>
              <w:t>район - р-н (при названии)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240" w:lineRule="auto"/>
              <w:jc w:val="left"/>
            </w:pPr>
            <w:r>
              <w:rPr>
                <w:rStyle w:val="2Exact"/>
              </w:rPr>
              <w:t>рисунок - рис.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17" w:lineRule="exact"/>
              <w:jc w:val="left"/>
            </w:pPr>
            <w:r>
              <w:rPr>
                <w:rStyle w:val="2Exact"/>
              </w:rPr>
              <w:t>рубль - руб.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17" w:lineRule="exact"/>
              <w:jc w:val="left"/>
            </w:pPr>
            <w:r>
              <w:rPr>
                <w:rStyle w:val="2Exact"/>
              </w:rPr>
              <w:t>село - с. (при названии)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17" w:lineRule="exact"/>
              <w:jc w:val="left"/>
            </w:pPr>
            <w:r>
              <w:rPr>
                <w:rStyle w:val="2Exact"/>
              </w:rPr>
              <w:t>смотри - см.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17" w:lineRule="exact"/>
              <w:jc w:val="left"/>
              <w:rPr>
                <w:rStyle w:val="2Exact"/>
              </w:rPr>
            </w:pPr>
            <w:r>
              <w:rPr>
                <w:rStyle w:val="2Exact"/>
              </w:rPr>
              <w:t>статья - ст. (при цифрах)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17" w:lineRule="exact"/>
              <w:jc w:val="left"/>
            </w:pPr>
            <w:r>
              <w:rPr>
                <w:rStyle w:val="2Exact"/>
              </w:rPr>
              <w:t>страница - с. (при цифрах)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ind w:right="440"/>
              <w:jc w:val="left"/>
            </w:pPr>
            <w:r>
              <w:t xml:space="preserve">секунда - с 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ind w:right="440"/>
              <w:jc w:val="left"/>
            </w:pPr>
            <w:r>
              <w:lastRenderedPageBreak/>
              <w:t>таблица - табл.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ind w:right="440"/>
              <w:jc w:val="left"/>
            </w:pPr>
            <w:r>
              <w:t xml:space="preserve">текущего года - т.г. 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ind w:right="440"/>
              <w:jc w:val="left"/>
            </w:pPr>
            <w:r>
              <w:t>то есть - т.е.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ind w:right="440"/>
              <w:jc w:val="left"/>
            </w:pPr>
            <w:r>
              <w:t>том, тома - т., тт. (при цифрах) тонна - т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</w:pPr>
            <w:r>
              <w:t>тысяча, тысячи - тыс. (при цифрах)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</w:pPr>
            <w:r>
              <w:t>улица - ул.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</w:pPr>
            <w:r>
              <w:t>центнер - ц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0" w:line="322" w:lineRule="exact"/>
              <w:jc w:val="left"/>
            </w:pPr>
            <w:r>
              <w:t>шоссе - ш.</w:t>
            </w:r>
          </w:p>
          <w:p w:rsidR="007113A1" w:rsidRDefault="007113A1" w:rsidP="007113A1">
            <w:pPr>
              <w:pStyle w:val="20"/>
              <w:shd w:val="clear" w:color="auto" w:fill="auto"/>
              <w:spacing w:after="300" w:line="322" w:lineRule="exact"/>
              <w:jc w:val="left"/>
            </w:pPr>
            <w:r>
              <w:t>экземпляр - экз.</w:t>
            </w:r>
          </w:p>
          <w:p w:rsidR="007113A1" w:rsidRDefault="007113A1" w:rsidP="00881561">
            <w:pPr>
              <w:pStyle w:val="20"/>
              <w:shd w:val="clear" w:color="auto" w:fill="auto"/>
              <w:spacing w:after="0" w:line="322" w:lineRule="exact"/>
              <w:jc w:val="both"/>
              <w:rPr>
                <w:b/>
              </w:rPr>
            </w:pPr>
          </w:p>
        </w:tc>
      </w:tr>
    </w:tbl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bookmarkStart w:id="2" w:name="_GoBack"/>
      <w:bookmarkEnd w:id="2"/>
      <w:r>
        <w:t xml:space="preserve">В написании имен, географических названий, терминов, должностей, учреждений и т.д. должно соблюдаться единообразие принципов и форм сокращения. </w:t>
      </w:r>
      <w:r w:rsidRPr="00881561">
        <w:rPr>
          <w:b/>
        </w:rPr>
        <w:t>Например</w:t>
      </w:r>
      <w:r>
        <w:t>, при сокращении после цифр слов «год», «годы» необходимо сокращать и слова «век», «века» после цифр, обозначающих столетия.</w:t>
      </w:r>
    </w:p>
    <w:p w:rsidR="002E14EF" w:rsidRDefault="00EE2A8C">
      <w:pPr>
        <w:pStyle w:val="20"/>
        <w:shd w:val="clear" w:color="auto" w:fill="auto"/>
        <w:spacing w:after="333" w:line="322" w:lineRule="exact"/>
        <w:ind w:firstLine="740"/>
        <w:jc w:val="both"/>
      </w:pPr>
      <w:r>
        <w:t>Не рекомендуется отрывать инициалы от фамилии и переносить ее на другую строку или страницу.</w:t>
      </w:r>
    </w:p>
    <w:p w:rsidR="002E14EF" w:rsidRDefault="00EE2A8C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4111"/>
        </w:tabs>
        <w:spacing w:before="0" w:after="249" w:line="280" w:lineRule="exact"/>
        <w:ind w:left="3780" w:firstLine="0"/>
        <w:jc w:val="both"/>
      </w:pPr>
      <w:bookmarkStart w:id="3" w:name="bookmark2"/>
      <w:r>
        <w:t>Написание дат</w:t>
      </w:r>
      <w:bookmarkEnd w:id="3"/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Для написания даты, в которую входят день месяца (число), месяц и год, используются словесно-цифровой и цифровой способы датирования. Указанные элементы могут иметь следующее написание: 2 июля </w:t>
      </w:r>
      <w:r w:rsidR="00881561">
        <w:t>2023</w:t>
      </w:r>
      <w:r>
        <w:t>г., 02.07.2010.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>При обозначении в тексте даты, состоящей только из года, слово «год» пишется полностью: план работы на 20</w:t>
      </w:r>
      <w:r w:rsidR="00881561">
        <w:t>24</w:t>
      </w:r>
      <w:r>
        <w:t xml:space="preserve"> год.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>Если дата в тексте состоит из месяца и года, квартала и года, полугодия и года, то она имеет следующее написание: в июле 20</w:t>
      </w:r>
      <w:r w:rsidR="00881561">
        <w:t>2</w:t>
      </w:r>
      <w:r>
        <w:t>0 года, в июле - августе 20</w:t>
      </w:r>
      <w:r w:rsidR="00881561">
        <w:t>2</w:t>
      </w:r>
      <w:r>
        <w:t>0 года; в I квартале 20</w:t>
      </w:r>
      <w:r w:rsidR="00881561">
        <w:t>2</w:t>
      </w:r>
      <w:r>
        <w:t>0 года, в III - IV кварталах 20</w:t>
      </w:r>
      <w:r w:rsidR="00881561">
        <w:t>2</w:t>
      </w:r>
      <w:r>
        <w:t>0 года; в первом полугодии 20</w:t>
      </w:r>
      <w:r w:rsidR="00881561">
        <w:t>2</w:t>
      </w:r>
      <w:r>
        <w:t>0 года. Квартал обозначается римской цифрой, а полугодие пишется словом.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>Календарные сроки в тексте обозначаются следующим образом: в июле 20</w:t>
      </w:r>
      <w:r w:rsidR="00881561">
        <w:t>2</w:t>
      </w:r>
      <w:r>
        <w:t>0 года, за 8 месяцев 20</w:t>
      </w:r>
      <w:r w:rsidR="00881561">
        <w:t>2</w:t>
      </w:r>
      <w:r>
        <w:t>0 года, в 20</w:t>
      </w:r>
      <w:r w:rsidR="00881561">
        <w:t>2</w:t>
      </w:r>
      <w:r>
        <w:t>0 году, с 2007 по 20</w:t>
      </w:r>
      <w:r w:rsidR="00881561">
        <w:t>20</w:t>
      </w:r>
      <w:r>
        <w:t xml:space="preserve"> год, в 2007 - 20</w:t>
      </w:r>
      <w:r w:rsidR="00881561">
        <w:t>20</w:t>
      </w:r>
      <w:r>
        <w:t xml:space="preserve"> годах.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>Период, ограниченный пределами года и десятилетия, указывается следующим образом: 2000 - 2010-е годы (год и десятилетие).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>В названиях праздников и знаменательных дат с прописной буквы пишется первое слово и имена собственные: День Конституции Российской Федерации, Восьмое марта, Новый год, День российской науки, Рождество Христово, но: День Победы, День защитника Отечества.</w:t>
      </w:r>
      <w:r>
        <w:br w:type="page"/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lastRenderedPageBreak/>
        <w:t xml:space="preserve">Если начальное порядковое числительное в таком названии написано цифрой, то с прописной буквы пишется следующее за ним слово. Порядковое числительное при этом не имеет наращения. </w:t>
      </w:r>
      <w:r w:rsidRPr="00881561">
        <w:rPr>
          <w:b/>
        </w:rPr>
        <w:t>Например:</w:t>
      </w:r>
      <w:r>
        <w:t xml:space="preserve"> 8 Марта.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>Порядковое числительное пишется словами и со строчной буквы в словосочетаниях типа: прибыли на восемьдесят пятое заседание Генеральной Ассамблеи ООН.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Порядковые числительные (отвечающие на вопросы «какой? какого?»), обозначаемые арабскими цифрами, пишутся с наращением. </w:t>
      </w:r>
      <w:r w:rsidRPr="00881561">
        <w:rPr>
          <w:b/>
        </w:rPr>
        <w:t>Например</w:t>
      </w:r>
      <w:r>
        <w:t xml:space="preserve">: 8-й ряд, 80-е годы. Количественные числительные (отвечающие на вопрос «сколько?») с наращением не употребляются. </w:t>
      </w:r>
      <w:r w:rsidRPr="00881561">
        <w:rPr>
          <w:b/>
        </w:rPr>
        <w:t>Например</w:t>
      </w:r>
      <w:r>
        <w:t>: на 3 листах, в 7 экземплярах.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Если подряд идут два порядковых числительных, разделенных запятой или соединенных союзом, падежное окончание наращивается у каждого. </w:t>
      </w:r>
      <w:r w:rsidRPr="00881561">
        <w:rPr>
          <w:b/>
        </w:rPr>
        <w:t>Например</w:t>
      </w:r>
      <w:r>
        <w:t>: 5-й, 6-й ряд; 9-е и 10-е классы.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Если несколько (более двух) порядковых числительных идут подряд, то падежное окончание наращивается только у последнего. </w:t>
      </w:r>
      <w:r w:rsidRPr="00881561">
        <w:rPr>
          <w:b/>
        </w:rPr>
        <w:t xml:space="preserve">Например: </w:t>
      </w:r>
      <w:r>
        <w:t xml:space="preserve">50, 70, 80-е годы. Если два порядковых числительных написаны через тире, то падежное окончание наращивается только у второго. </w:t>
      </w:r>
      <w:r w:rsidRPr="00881561">
        <w:rPr>
          <w:b/>
        </w:rPr>
        <w:t>Например:</w:t>
      </w:r>
      <w:r>
        <w:t xml:space="preserve"> 50 - 60-е годы, </w:t>
      </w:r>
      <w:r w:rsidR="00881561">
        <w:t xml:space="preserve">                   </w:t>
      </w:r>
      <w:r>
        <w:t>в 20 - 30-х годах.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Не требуют наращения падежных окончаний такие порядковые числительные, как номера томов, разделов, глав, страниц, иллюстраций, приложений и т.п., если родовое слово предшествует числительным. </w:t>
      </w:r>
      <w:r w:rsidRPr="00881561">
        <w:rPr>
          <w:b/>
        </w:rPr>
        <w:t>Например</w:t>
      </w:r>
      <w:r>
        <w:t>: в томе 6, в главе 5, на странице 85, на рисунке 15, в таблице 8, из приложения № 6.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Знак номера ставится перед порядковыми номерами приложений, но не ставится перед порядковыми номерами таблиц, иллюстраций, глав, страниц. </w:t>
      </w:r>
      <w:r w:rsidRPr="00881561">
        <w:rPr>
          <w:b/>
        </w:rPr>
        <w:t>Например</w:t>
      </w:r>
      <w:r>
        <w:t>: приложение № 2, таблица 1, глава 4, страница 5.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>Римскими цифрами (без наращения падежного окончания) по традиции обозначаются века, кварталы, порядковые номера съездов, конференций, конгрессов, международных объединений, ассамблей, годовщин, спортивных состязаний. Например: XX век, XIX - XX века, XX столетие, I квартал, Х Международный астрономический съезд, XII Олимпийские игры.</w:t>
      </w:r>
    </w:p>
    <w:p w:rsidR="002E14EF" w:rsidRDefault="00EE2A8C">
      <w:pPr>
        <w:pStyle w:val="20"/>
        <w:shd w:val="clear" w:color="auto" w:fill="auto"/>
        <w:spacing w:after="333" w:line="322" w:lineRule="exact"/>
        <w:ind w:firstLine="740"/>
        <w:jc w:val="both"/>
      </w:pPr>
      <w:r>
        <w:t>При оформлении дат, календарных сроков, в названиях праздников и знаменательных дат не рекомендуется отрывать словесные выражения от цифровых, переносить их на другую строку или страницу.</w:t>
      </w:r>
    </w:p>
    <w:p w:rsidR="002E14EF" w:rsidRDefault="00EE2A8C">
      <w:pPr>
        <w:pStyle w:val="10"/>
        <w:keepNext/>
        <w:keepLines/>
        <w:numPr>
          <w:ilvl w:val="0"/>
          <w:numId w:val="1"/>
        </w:numPr>
        <w:shd w:val="clear" w:color="auto" w:fill="auto"/>
        <w:tabs>
          <w:tab w:val="left" w:pos="3947"/>
        </w:tabs>
        <w:spacing w:before="0" w:after="244" w:line="280" w:lineRule="exact"/>
        <w:ind w:left="3620" w:firstLine="0"/>
        <w:jc w:val="both"/>
      </w:pPr>
      <w:bookmarkStart w:id="4" w:name="bookmark3"/>
      <w:r>
        <w:t>Написание чисел</w:t>
      </w:r>
      <w:bookmarkEnd w:id="4"/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>Для написания чисел используются следующие формы: буквенная (четыре компьютера), цифровая (20 печатных листов) и буквенно-цифровая (130-тысячный).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Буквенно-цифровая форма написания чисел рекомендуется для обозначения крупных круглых чисел в виде сочетания цифр с сокращениями тыс., млн, млрд. </w:t>
      </w:r>
      <w:r w:rsidRPr="000221FE">
        <w:rPr>
          <w:b/>
        </w:rPr>
        <w:t>Например:</w:t>
      </w:r>
      <w:r>
        <w:t xml:space="preserve"> 5 тыс. рублей, 12 млн рублей, 20 млрд рублей.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Если в предложении наряду с однозначными часто встречаются и многозначные количественные числительные, в целях унификации следует и </w:t>
      </w:r>
      <w:r>
        <w:lastRenderedPageBreak/>
        <w:t xml:space="preserve">однозначные количественные числительные писать цифрами, за исключением числительных в косвенных падежах. </w:t>
      </w:r>
      <w:r w:rsidRPr="000221FE">
        <w:rPr>
          <w:b/>
        </w:rPr>
        <w:t>Например</w:t>
      </w:r>
      <w:r>
        <w:t>: в библиотеку поступило 15 компьютеров, а в архив - 3 или в библиотеке не хватает трех компьютеров, в архиве - двух.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>Названия единиц измерения в тексте документов рекомендуется писать следующим образом: 5 тыс. метров, 16 тонн, 120 кв. метров, 20 млн тонн; в приложениях - сокращенно: 5 тыс. м, 16 т, 120 кв. м, 20 млн т.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Существительное после дробного числа согласуется с дробной его частью и ставится в родительном падеже единственного числа. </w:t>
      </w:r>
      <w:r w:rsidRPr="000221FE">
        <w:rPr>
          <w:b/>
        </w:rPr>
        <w:t>Например:</w:t>
      </w:r>
    </w:p>
    <w:p w:rsidR="002E14EF" w:rsidRDefault="00EE2A8C">
      <w:pPr>
        <w:pStyle w:val="20"/>
        <w:numPr>
          <w:ilvl w:val="0"/>
          <w:numId w:val="2"/>
        </w:numPr>
        <w:shd w:val="clear" w:color="auto" w:fill="auto"/>
        <w:tabs>
          <w:tab w:val="left" w:pos="606"/>
        </w:tabs>
        <w:spacing w:after="0" w:line="322" w:lineRule="exact"/>
        <w:jc w:val="both"/>
      </w:pPr>
      <w:r>
        <w:t>метра, 46,2 кв. метра, но 28,5 тыс. метров.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При обозначении количества предметов, а также количества людей не употребляются слова «штук», «человек». </w:t>
      </w:r>
      <w:r w:rsidRPr="000221FE">
        <w:rPr>
          <w:b/>
        </w:rPr>
        <w:t>Например:</w:t>
      </w:r>
      <w:r>
        <w:t xml:space="preserve"> 10 автомобилей, а не 10 штук автомобилей; пять программистов, а не пять человек программистов; 10 листов бумаги.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>Сложные существительные и прилагательные, имеющие в своем составе числительные, пишутся следующим образом: 1150-летие, 3-месячный срок, 25-процентный, 3-дневный, 1-, 2- и 3-секционные шкафы.</w:t>
      </w:r>
    </w:p>
    <w:p w:rsidR="002E14EF" w:rsidRDefault="00EE2A8C" w:rsidP="000221FE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Если в документе встречаются выражения с числительными типа 1,95 раза, то в том же документе подобные числительные, которые обычно рекомендуется писать словами, также пишутся цифрами. </w:t>
      </w:r>
      <w:r w:rsidRPr="000221FE">
        <w:rPr>
          <w:b/>
        </w:rPr>
        <w:t>Например</w:t>
      </w:r>
      <w:r>
        <w:t>: ...при увеличении скорости в 1,95 раза произ</w:t>
      </w:r>
      <w:r w:rsidR="000221FE">
        <w:t xml:space="preserve">водительность труда увеличится в 1,5 </w:t>
      </w:r>
      <w:r>
        <w:t>раза... (но не «в полтора раза»).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>В номерах телефонов принято отделять дефисом справа налево по две цифры. Например: 45-12, 3-45-12, 123-45-12.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Между частями двойного номера дома ставится косая черта. </w:t>
      </w:r>
      <w:r w:rsidRPr="000221FE">
        <w:rPr>
          <w:b/>
        </w:rPr>
        <w:t>Например:</w:t>
      </w:r>
      <w:r>
        <w:t xml:space="preserve"> ул. Ильинка, д. 9/2. Литера пишется слитно с номером дома. </w:t>
      </w:r>
      <w:r w:rsidRPr="000221FE">
        <w:rPr>
          <w:b/>
        </w:rPr>
        <w:t>Например:</w:t>
      </w:r>
      <w:r>
        <w:t xml:space="preserve"> Пушкинский пер., д. 7а.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>Знаки номера, параграфа, процентов, градуса ставятся только при цифрах, к которым они относятся, и в заголовках граф таблицы. Когда цифры пишутся словами, знаки номера, параграфа, процентов и т.п. также пишутся словами.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 xml:space="preserve">Знаки №, §, % и т.д. при нескольких числах (т.е. когда они обозначают соответствующие понятия во множественном числе) не удваиваются и ставятся только один раз. </w:t>
      </w:r>
      <w:r w:rsidRPr="000221FE">
        <w:rPr>
          <w:b/>
        </w:rPr>
        <w:t>Например:</w:t>
      </w:r>
      <w:r>
        <w:t xml:space="preserve"> № 1 - 5; § 1 и 2; 25 - 30 %.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>Знаки номера, параграфа, процента, градуса и соответствующие цифры не допускается располагать на разных строках. В этих целях при работе на ПК между цифровыми и словесными выражениями проставляется жесткий пробел.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>Если в тексте, который нужно выделить кавычками или скобками, стоят слова, уже заключенные в кавычки или скобки, то дважды кавычки или скобки не ставятся.</w:t>
      </w:r>
    </w:p>
    <w:p w:rsidR="002E14EF" w:rsidRDefault="00EE2A8C">
      <w:pPr>
        <w:pStyle w:val="20"/>
        <w:shd w:val="clear" w:color="auto" w:fill="auto"/>
        <w:spacing w:after="0" w:line="322" w:lineRule="exact"/>
        <w:ind w:firstLine="740"/>
        <w:jc w:val="both"/>
      </w:pPr>
      <w:r>
        <w:t>Математические обозначения =, &lt;, &gt;, +, - и др. допускается применять только в формулах; в тексте документов их необходимо передавать словами «равно», «меньше», «больше», «плюс», «минус».</w:t>
      </w:r>
    </w:p>
    <w:sectPr w:rsidR="002E14EF" w:rsidSect="007113A1">
      <w:headerReference w:type="default" r:id="rId7"/>
      <w:pgSz w:w="11900" w:h="16840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BA0" w:rsidRDefault="00344BA0">
      <w:r>
        <w:separator/>
      </w:r>
    </w:p>
  </w:endnote>
  <w:endnote w:type="continuationSeparator" w:id="0">
    <w:p w:rsidR="00344BA0" w:rsidRDefault="00344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BA0" w:rsidRDefault="00344BA0"/>
  </w:footnote>
  <w:footnote w:type="continuationSeparator" w:id="0">
    <w:p w:rsidR="00344BA0" w:rsidRDefault="00344B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4EF" w:rsidRDefault="000221F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3789045</wp:posOffset>
              </wp:positionH>
              <wp:positionV relativeFrom="page">
                <wp:posOffset>500380</wp:posOffset>
              </wp:positionV>
              <wp:extent cx="89535" cy="2044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14EF" w:rsidRDefault="00EE2A8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113A1" w:rsidRPr="007113A1">
                            <w:rPr>
                              <w:rStyle w:val="a6"/>
                              <w:noProof/>
                            </w:rPr>
                            <w:t>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8.35pt;margin-top:39.4pt;width:7.05pt;height:16.1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" filled="f" stroked="f">
              <v:textbox style="mso-fit-shape-to-text:t" inset="0,0,0,0">
                <w:txbxContent>
                  <w:p w:rsidR="002E14EF" w:rsidRDefault="00EE2A8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113A1" w:rsidRPr="007113A1">
                      <w:rPr>
                        <w:rStyle w:val="a6"/>
                        <w:noProof/>
                      </w:rPr>
                      <w:t>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D09A9"/>
    <w:multiLevelType w:val="multilevel"/>
    <w:tmpl w:val="91C82588"/>
    <w:lvl w:ilvl="0">
      <w:start w:val="5"/>
      <w:numFmt w:val="decimal"/>
      <w:lvlText w:val="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2246E46"/>
    <w:multiLevelType w:val="multilevel"/>
    <w:tmpl w:val="64F200B2"/>
    <w:lvl w:ilvl="0">
      <w:start w:val="5"/>
      <w:numFmt w:val="decimal"/>
      <w:lvlText w:val="2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4952C4"/>
    <w:multiLevelType w:val="multilevel"/>
    <w:tmpl w:val="BAEC6C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EF"/>
    <w:rsid w:val="000221FE"/>
    <w:rsid w:val="002E14EF"/>
    <w:rsid w:val="00344BA0"/>
    <w:rsid w:val="007113A1"/>
    <w:rsid w:val="00881561"/>
    <w:rsid w:val="00EE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1F52"/>
  <w15:docId w15:val="{E0CA17E7-E8E3-40FB-9DA5-2A9E7948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54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420" w:line="0" w:lineRule="atLeast"/>
      <w:ind w:hanging="19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7113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113A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113A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9134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aaa</dc:creator>
  <cp:keywords/>
  <cp:lastModifiedBy>User</cp:lastModifiedBy>
  <cp:revision>3</cp:revision>
  <cp:lastPrinted>2025-01-16T12:39:00Z</cp:lastPrinted>
  <dcterms:created xsi:type="dcterms:W3CDTF">2025-01-15T13:53:00Z</dcterms:created>
  <dcterms:modified xsi:type="dcterms:W3CDTF">2025-01-16T12:39:00Z</dcterms:modified>
</cp:coreProperties>
</file>